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91E" w:rsidRDefault="009122CA">
      <w:pPr>
        <w:rPr>
          <w:lang w:val="uk-UA"/>
        </w:rPr>
      </w:pPr>
      <w:r w:rsidRPr="009122CA"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37.85pt;margin-top:-17.55pt;width:86.85pt;height:29.5pt;z-index:251660288;mso-width-relative:margin;mso-height-relative:margin" stroked="f">
            <v:textbox>
              <w:txbxContent>
                <w:p w:rsidR="004B691E" w:rsidRPr="004B691E" w:rsidRDefault="004B691E">
                  <w:pPr>
                    <w:rPr>
                      <w:sz w:val="28"/>
                      <w:szCs w:val="28"/>
                    </w:rPr>
                  </w:pPr>
                  <w:r w:rsidRPr="004B691E">
                    <w:rPr>
                      <w:sz w:val="28"/>
                      <w:szCs w:val="28"/>
                      <w:lang w:val="uk-UA"/>
                    </w:rPr>
                    <w:t>Діаграма 6</w:t>
                  </w:r>
                </w:p>
              </w:txbxContent>
            </v:textbox>
          </v:shape>
        </w:pict>
      </w:r>
    </w:p>
    <w:p w:rsidR="00B45104" w:rsidRDefault="004B691E">
      <w:r w:rsidRPr="004B691E">
        <w:rPr>
          <w:noProof/>
          <w:lang w:eastAsia="ru-RU"/>
        </w:rPr>
        <w:drawing>
          <wp:inline distT="0" distB="0" distL="0" distR="0">
            <wp:extent cx="9626600" cy="4870450"/>
            <wp:effectExtent l="19050" t="0" r="1270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B45104" w:rsidSect="004B69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B691E"/>
    <w:rsid w:val="004B691E"/>
    <w:rsid w:val="004F1DB2"/>
    <w:rsid w:val="005B1008"/>
    <w:rsid w:val="005C1356"/>
    <w:rsid w:val="00721D10"/>
    <w:rsid w:val="009122CA"/>
    <w:rsid w:val="00B45104"/>
    <w:rsid w:val="00D2550F"/>
    <w:rsid w:val="00E2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9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Robota\2017\&#1047;&#1074;&#1110;&#1090;%20&#1074;&#1080;&#1082;&#1086;&#1085;&#1072;&#1074;&#1095;&#1080;&#1093;%20&#1086;&#1088;&#1075;&#1072;&#1085;&#1110;&#1074;\&#1076;&#1110;&#1072;&#1075;&#1088;&#1072;&#1084;&#1080;\&#1044;&#1110;&#1072;&#1075;&#1088;&#1072;&#1084;&#1080;%20%20&#1079;&#1072;%202016%20-2017%20&#1088;&#1110;&#1082;%20&#1074;&#1080;&#1076;&#1072;&#109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Виконання</a:t>
            </a:r>
            <a:r>
              <a:rPr lang="ru-RU" sz="1200" baseline="0"/>
              <a:t> бюджету м. Кузнецовськ по видатках за 2016 рік за галузевою структурою  </a:t>
            </a:r>
            <a:endParaRPr lang="en-US" sz="1200" baseline="0"/>
          </a:p>
          <a:p>
            <a:pPr>
              <a:defRPr sz="1200"/>
            </a:pPr>
            <a:r>
              <a:rPr lang="ru-RU" sz="1200" baseline="0"/>
              <a:t>               (всього видатків - 340 125,9 тис.грн.)</a:t>
            </a:r>
            <a:endParaRPr lang="ru-RU" sz="1200"/>
          </a:p>
        </c:rich>
      </c:tx>
      <c:layout>
        <c:manualLayout>
          <c:xMode val="edge"/>
          <c:yMode val="edge"/>
          <c:x val="0.15052269393797321"/>
          <c:y val="3.4120311378445022E-4"/>
        </c:manualLayout>
      </c:layout>
    </c:title>
    <c:plotArea>
      <c:layout>
        <c:manualLayout>
          <c:layoutTarget val="inner"/>
          <c:xMode val="edge"/>
          <c:yMode val="edge"/>
          <c:x val="0.29695808345476576"/>
          <c:y val="0.2660080014689763"/>
          <c:w val="0.38713470000360717"/>
          <c:h val="0.72152617726759294"/>
        </c:manualLayout>
      </c:layout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6.2437139751513618E-2"/>
                  <c:y val="-1.9250043123355053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1.3604563985433516E-2"/>
                  <c:y val="-0.15110690697040349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2"/>
              <c:layout>
                <c:manualLayout>
                  <c:x val="2.6989632104387404E-2"/>
                  <c:y val="-2.5662569484244746E-3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3"/>
              <c:layout>
                <c:manualLayout>
                  <c:x val="6.3390477891941965E-2"/>
                  <c:y val="8.9157286177712805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4"/>
              <c:layout>
                <c:manualLayout>
                  <c:x val="0.18503095512706813"/>
                  <c:y val="-2.6751615039200604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5"/>
              <c:layout>
                <c:manualLayout>
                  <c:x val="-8.4857125865235569E-2"/>
                  <c:y val="-5.2346745160446781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6"/>
              <c:layout>
                <c:manualLayout>
                  <c:x val="-6.3378416367178614E-2"/>
                  <c:y val="5.3710444754809024E-2"/>
                </c:manualLayout>
              </c:layout>
              <c:tx>
                <c:rich>
                  <a:bodyPr rot="0"/>
                  <a:lstStyle/>
                  <a:p>
                    <a:pPr>
                      <a:defRPr sz="900"/>
                    </a:pPr>
                    <a:r>
                      <a:rPr lang="ru-RU"/>
                      <a:t>Видатки на житлово-комунальне господарство, ремонт доріг, внески у статутний </a:t>
                    </a:r>
                    <a:r>
                      <a:rPr lang="uk-UA"/>
                      <a:t>капітал</a:t>
                    </a:r>
                    <a:r>
                      <a:rPr lang="uk-UA" baseline="0"/>
                      <a:t>   </a:t>
                    </a:r>
                  </a:p>
                  <a:p>
                    <a:pPr>
                      <a:defRPr sz="900"/>
                    </a:pPr>
                    <a:r>
                      <a:rPr lang="ru-RU"/>
                      <a:t>4 </a:t>
                    </a:r>
                    <a:r>
                      <a:rPr lang="en-US"/>
                      <a:t>198</a:t>
                    </a:r>
                    <a:r>
                      <a:rPr lang="ru-RU"/>
                      <a:t>,</a:t>
                    </a:r>
                    <a:r>
                      <a:rPr lang="en-US"/>
                      <a:t>2</a:t>
                    </a:r>
                    <a:r>
                      <a:rPr lang="ru-RU"/>
                      <a:t>
10%</a:t>
                    </a:r>
                  </a:p>
                </c:rich>
              </c:tx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showLegendKey val="1"/>
              <c:showVal val="1"/>
              <c:showCatName val="1"/>
              <c:showPercent val="1"/>
              <c:separator>
</c:separator>
            </c:dLbl>
            <c:dLbl>
              <c:idx val="7"/>
              <c:layout>
                <c:manualLayout>
                  <c:x val="-0.10420715537417359"/>
                  <c:y val="-4.5002983547510866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8"/>
              <c:layout>
                <c:manualLayout>
                  <c:x val="4.0150666357445866E-2"/>
                  <c:y val="-4.9622461981893946E-3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9"/>
              <c:tx>
                <c:rich>
                  <a:bodyPr/>
                  <a:lstStyle/>
                  <a:p>
                    <a:r>
                      <a:rPr lang="ru-RU"/>
                      <a:t>Інші видатки
2 </a:t>
                    </a:r>
                    <a:r>
                      <a:rPr lang="en-US"/>
                      <a:t>552</a:t>
                    </a:r>
                    <a:r>
                      <a:rPr lang="ru-RU"/>
                      <a:t>,</a:t>
                    </a:r>
                    <a:r>
                      <a:rPr lang="en-US"/>
                      <a:t>5</a:t>
                    </a:r>
                    <a:r>
                      <a:rPr lang="ru-RU"/>
                      <a:t>
1%</a:t>
                    </a:r>
                  </a:p>
                </c:rich>
              </c:tx>
              <c:showLegendKey val="1"/>
              <c:showVal val="1"/>
              <c:showCatName val="1"/>
              <c:showPercent val="1"/>
              <c:separator>
</c:separator>
            </c:dLbl>
            <c:dLbl>
              <c:idx val="10"/>
              <c:layout>
                <c:manualLayout>
                  <c:x val="0.15222504082408195"/>
                  <c:y val="6.9811314455505272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2"/>
              <c:layout>
                <c:manualLayout>
                  <c:x val="0.11069637511771938"/>
                  <c:y val="3.8531079560615294E-4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5"/>
              <c:layout>
                <c:manualLayout>
                  <c:x val="3.4219023436856261E-2"/>
                  <c:y val="3.8264098674394051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7"/>
              <c:layout>
                <c:manualLayout>
                  <c:x val="4.4195456889363854E-2"/>
                  <c:y val="6.2550496239254724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8"/>
              <c:layout>
                <c:manualLayout>
                  <c:x val="-0.20354172206083321"/>
                  <c:y val="0.24538596655858286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9"/>
              <c:layout>
                <c:manualLayout>
                  <c:x val="-0.21487451142027722"/>
                  <c:y val="0.15953817377891924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spPr>
              <a:ln>
                <a:solidFill>
                  <a:sysClr val="window" lastClr="FFFFFF">
                    <a:lumMod val="75000"/>
                  </a:sysClr>
                </a:solidFill>
              </a:ln>
            </c:spPr>
            <c:txPr>
              <a:bodyPr rot="0"/>
              <a:lstStyle/>
              <a:p>
                <a:pPr>
                  <a:defRPr sz="800"/>
                </a:pPr>
                <a:endParaRPr lang="ru-RU"/>
              </a:p>
            </c:txPr>
            <c:showLegendKey val="1"/>
            <c:showVal val="1"/>
            <c:showCatName val="1"/>
            <c:showPercent val="1"/>
            <c:separator>
</c:separator>
            <c:showLeaderLines val="1"/>
          </c:dLbls>
          <c:cat>
            <c:strRef>
              <c:f>'2016 структура'!$A$5:$A$14</c:f>
              <c:strCache>
                <c:ptCount val="10"/>
                <c:pt idx="0">
                  <c:v>Соціальний захист та соціальне забезпечення</c:v>
                </c:pt>
                <c:pt idx="1">
                  <c:v>Культура та мистецтво</c:v>
                </c:pt>
                <c:pt idx="2">
                  <c:v>Фізична культура і спорт</c:v>
                </c:pt>
                <c:pt idx="3">
                  <c:v>Органи місцевого самоврядування</c:v>
                </c:pt>
                <c:pt idx="4">
                  <c:v>Освіта</c:v>
                </c:pt>
                <c:pt idx="5">
                  <c:v>Охорона здоров'я</c:v>
                </c:pt>
                <c:pt idx="6">
                  <c:v>Видатки на житлово-комунальне господарство, ремонт доріг, внески у статутний фонд</c:v>
                </c:pt>
                <c:pt idx="7">
                  <c:v>Капітальні вкладення</c:v>
                </c:pt>
                <c:pt idx="8">
                  <c:v>Кошти, що передаються до Державного бюджету (реверсна дотація)</c:v>
                </c:pt>
                <c:pt idx="9">
                  <c:v>Інші видатки</c:v>
                </c:pt>
              </c:strCache>
            </c:strRef>
          </c:cat>
          <c:val>
            <c:numRef>
              <c:f>'2016 структура'!$B$5:$B$14</c:f>
              <c:numCache>
                <c:formatCode>#,##0.0</c:formatCode>
                <c:ptCount val="10"/>
                <c:pt idx="0">
                  <c:v>72300</c:v>
                </c:pt>
                <c:pt idx="1">
                  <c:v>8170.7</c:v>
                </c:pt>
                <c:pt idx="2">
                  <c:v>1365.5</c:v>
                </c:pt>
                <c:pt idx="3">
                  <c:v>19158.3</c:v>
                </c:pt>
                <c:pt idx="4">
                  <c:v>113673.9</c:v>
                </c:pt>
                <c:pt idx="5">
                  <c:v>47300.3</c:v>
                </c:pt>
                <c:pt idx="6">
                  <c:v>34283.300000000003</c:v>
                </c:pt>
                <c:pt idx="7">
                  <c:v>5975.1</c:v>
                </c:pt>
                <c:pt idx="8">
                  <c:v>35431.4</c:v>
                </c:pt>
                <c:pt idx="9">
                  <c:v>2467.4</c:v>
                </c:pt>
              </c:numCache>
            </c:numRef>
          </c:val>
        </c:ser>
        <c:ser>
          <c:idx val="1"/>
          <c:order val="1"/>
          <c:dLbls>
            <c:showCatName val="1"/>
            <c:showPercent val="1"/>
            <c:showLeaderLines val="1"/>
          </c:dLbls>
          <c:cat>
            <c:strRef>
              <c:f>'2016 структура'!$A$5:$A$14</c:f>
              <c:strCache>
                <c:ptCount val="10"/>
                <c:pt idx="0">
                  <c:v>Соціальний захист та соціальне забезпечення</c:v>
                </c:pt>
                <c:pt idx="1">
                  <c:v>Культура та мистецтво</c:v>
                </c:pt>
                <c:pt idx="2">
                  <c:v>Фізична культура і спорт</c:v>
                </c:pt>
                <c:pt idx="3">
                  <c:v>Органи місцевого самоврядування</c:v>
                </c:pt>
                <c:pt idx="4">
                  <c:v>Освіта</c:v>
                </c:pt>
                <c:pt idx="5">
                  <c:v>Охорона здоров'я</c:v>
                </c:pt>
                <c:pt idx="6">
                  <c:v>Видатки на житлово-комунальне господарство, ремонт доріг, внески у статутний фонд</c:v>
                </c:pt>
                <c:pt idx="7">
                  <c:v>Капітальні вкладення</c:v>
                </c:pt>
                <c:pt idx="8">
                  <c:v>Кошти, що передаються до Державного бюджету (реверсна дотація)</c:v>
                </c:pt>
                <c:pt idx="9">
                  <c:v>Інші видатки</c:v>
                </c:pt>
              </c:strCache>
            </c:strRef>
          </c:cat>
          <c:val>
            <c:numRef>
              <c:f>'2016 структура'!$C$5:$C$14</c:f>
              <c:numCache>
                <c:formatCode>0.00%</c:formatCode>
                <c:ptCount val="10"/>
                <c:pt idx="0">
                  <c:v>0.2125683460154022</c:v>
                </c:pt>
                <c:pt idx="1">
                  <c:v>2.4022575169959152E-2</c:v>
                </c:pt>
                <c:pt idx="2">
                  <c:v>4.0146898545509145E-3</c:v>
                </c:pt>
                <c:pt idx="3">
                  <c:v>5.6327083588753463E-2</c:v>
                </c:pt>
                <c:pt idx="4">
                  <c:v>0.33421124354246501</c:v>
                </c:pt>
                <c:pt idx="5">
                  <c:v>0.13906703370722456</c:v>
                </c:pt>
                <c:pt idx="6">
                  <c:v>0.10079591116113194</c:v>
                </c:pt>
                <c:pt idx="7">
                  <c:v>1.7567318454725159E-2</c:v>
                </c:pt>
                <c:pt idx="8">
                  <c:v>0.10417142593374996</c:v>
                </c:pt>
                <c:pt idx="9">
                  <c:v>7.2543725720387708E-3</c:v>
                </c:pt>
              </c:numCache>
            </c:numRef>
          </c:val>
        </c:ser>
        <c:firstSliceAng val="0"/>
      </c:pieChart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</cp:revision>
  <dcterms:created xsi:type="dcterms:W3CDTF">2017-09-21T09:05:00Z</dcterms:created>
  <dcterms:modified xsi:type="dcterms:W3CDTF">2017-09-22T06:18:00Z</dcterms:modified>
</cp:coreProperties>
</file>